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4D" w:rsidRPr="0095738A" w:rsidRDefault="00EB44C1" w:rsidP="008A63E3">
      <w:pPr>
        <w:autoSpaceDE w:val="0"/>
        <w:autoSpaceDN w:val="0"/>
        <w:adjustRightInd w:val="0"/>
        <w:rPr>
          <w:bCs/>
          <w:iCs/>
          <w:lang w:val="pl-PL"/>
        </w:rPr>
      </w:pPr>
      <w:proofErr w:type="spellStart"/>
      <w:r w:rsidRPr="0095738A">
        <w:rPr>
          <w:bCs/>
          <w:iCs/>
          <w:lang w:val="pl-PL"/>
        </w:rPr>
        <w:t>DSUiZP</w:t>
      </w:r>
      <w:proofErr w:type="spellEnd"/>
      <w:r w:rsidRPr="0095738A">
        <w:rPr>
          <w:bCs/>
          <w:iCs/>
          <w:lang w:val="pl-PL"/>
        </w:rPr>
        <w:t xml:space="preserve"> 252/MS/24/2016r</w:t>
      </w:r>
      <w:r w:rsidRPr="0095738A">
        <w:rPr>
          <w:bCs/>
          <w:iCs/>
          <w:lang w:val="pl-PL"/>
        </w:rPr>
        <w:tab/>
      </w:r>
      <w:r w:rsidRPr="0095738A">
        <w:rPr>
          <w:bCs/>
          <w:iCs/>
          <w:lang w:val="pl-PL"/>
        </w:rPr>
        <w:tab/>
      </w:r>
      <w:r w:rsidRPr="0095738A">
        <w:rPr>
          <w:bCs/>
          <w:iCs/>
          <w:lang w:val="pl-PL"/>
        </w:rPr>
        <w:tab/>
      </w:r>
      <w:r w:rsidRPr="0095738A">
        <w:rPr>
          <w:bCs/>
          <w:iCs/>
          <w:lang w:val="pl-PL"/>
        </w:rPr>
        <w:tab/>
      </w:r>
      <w:r w:rsidRPr="0095738A">
        <w:rPr>
          <w:bCs/>
          <w:iCs/>
          <w:lang w:val="pl-PL"/>
        </w:rPr>
        <w:tab/>
      </w:r>
      <w:r w:rsidRPr="0095738A">
        <w:rPr>
          <w:bCs/>
          <w:iCs/>
          <w:lang w:val="pl-PL"/>
        </w:rPr>
        <w:tab/>
        <w:t>Końskie 2016.11</w:t>
      </w:r>
      <w:r w:rsidR="00EF774D" w:rsidRPr="0095738A">
        <w:rPr>
          <w:bCs/>
          <w:iCs/>
          <w:lang w:val="pl-PL"/>
        </w:rPr>
        <w:t>.</w:t>
      </w:r>
      <w:r w:rsidR="0095738A" w:rsidRPr="0095738A">
        <w:rPr>
          <w:bCs/>
          <w:iCs/>
          <w:lang w:val="pl-PL"/>
        </w:rPr>
        <w:t>16</w:t>
      </w:r>
      <w:r w:rsidR="00EF774D" w:rsidRPr="0095738A">
        <w:rPr>
          <w:bCs/>
          <w:iCs/>
          <w:lang w:val="pl-PL"/>
        </w:rPr>
        <w:t xml:space="preserve">  </w:t>
      </w:r>
    </w:p>
    <w:p w:rsidR="00EF774D" w:rsidRPr="0095738A" w:rsidRDefault="00EF774D" w:rsidP="008A63E3">
      <w:pPr>
        <w:autoSpaceDE w:val="0"/>
        <w:autoSpaceDN w:val="0"/>
        <w:adjustRightInd w:val="0"/>
        <w:rPr>
          <w:b/>
          <w:bCs/>
          <w:iCs/>
          <w:lang w:val="pl-PL"/>
        </w:rPr>
      </w:pPr>
    </w:p>
    <w:tbl>
      <w:tblPr>
        <w:tblW w:w="480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</w:tblGrid>
      <w:tr w:rsidR="008867A3" w:rsidRPr="0095738A" w:rsidTr="000D2D03">
        <w:trPr>
          <w:trHeight w:val="1133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A3" w:rsidRPr="0095738A" w:rsidRDefault="008867A3" w:rsidP="008867A3">
            <w:pPr>
              <w:tabs>
                <w:tab w:val="left" w:pos="284"/>
              </w:tabs>
              <w:ind w:right="-1"/>
              <w:jc w:val="center"/>
              <w:rPr>
                <w:b/>
                <w:bCs/>
              </w:rPr>
            </w:pPr>
            <w:r w:rsidRPr="0095738A">
              <w:rPr>
                <w:bCs/>
              </w:rPr>
              <w:t>Firmy biorące udzia</w:t>
            </w:r>
            <w:r w:rsidR="00EB44C1" w:rsidRPr="0095738A">
              <w:rPr>
                <w:bCs/>
              </w:rPr>
              <w:t xml:space="preserve">ł w postępowaniu ogłoszonym w Suplemencie do Dz U. UE  nr  2016/S 210-380680 </w:t>
            </w:r>
            <w:r w:rsidRPr="0095738A">
              <w:rPr>
                <w:b/>
                <w:bCs/>
              </w:rPr>
              <w:t xml:space="preserve"> </w:t>
            </w:r>
            <w:r w:rsidR="00EB44C1" w:rsidRPr="0095738A">
              <w:rPr>
                <w:bCs/>
              </w:rPr>
              <w:t>z datą zamieszczenia 31.11</w:t>
            </w:r>
            <w:r w:rsidRPr="0095738A">
              <w:rPr>
                <w:bCs/>
              </w:rPr>
              <w:t>.2016</w:t>
            </w:r>
            <w:r w:rsidR="00EB44C1" w:rsidRPr="0095738A">
              <w:rPr>
                <w:bCs/>
              </w:rPr>
              <w:t xml:space="preserve"> oraz Sprostowania do Ogłoszenia nr 2016/S 216-393258 z dn. 09.11.2016 </w:t>
            </w:r>
            <w:r w:rsidRPr="0095738A">
              <w:rPr>
                <w:bCs/>
              </w:rPr>
              <w:t xml:space="preserve"> i na </w:t>
            </w:r>
            <w:r w:rsidRPr="0095738A">
              <w:t xml:space="preserve">stronie internetowej </w:t>
            </w:r>
            <w:r w:rsidRPr="0095738A">
              <w:rPr>
                <w:u w:val="single"/>
              </w:rPr>
              <w:t>www.zoz-konskie.bip.org.pl</w:t>
            </w:r>
            <w:r w:rsidRPr="0095738A">
              <w:t xml:space="preserve"> oraz w siedzibie zamawiającego.</w:t>
            </w:r>
          </w:p>
        </w:tc>
      </w:tr>
    </w:tbl>
    <w:p w:rsidR="008867A3" w:rsidRPr="0095738A" w:rsidRDefault="008867A3" w:rsidP="008867A3">
      <w:pPr>
        <w:jc w:val="both"/>
        <w:rPr>
          <w:b/>
          <w:color w:val="000000"/>
        </w:rPr>
      </w:pPr>
    </w:p>
    <w:p w:rsidR="008867A3" w:rsidRPr="0095738A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  <w:r w:rsidRPr="0095738A">
        <w:rPr>
          <w:b/>
          <w:color w:val="000000"/>
        </w:rPr>
        <w:t>Dotyczy: przetargu nieograniczonego</w:t>
      </w:r>
      <w:r w:rsidRPr="0095738A">
        <w:rPr>
          <w:b/>
          <w:bCs/>
          <w:color w:val="000000"/>
        </w:rPr>
        <w:t xml:space="preserve"> </w:t>
      </w:r>
      <w:r w:rsidR="00EB44C1" w:rsidRPr="0095738A">
        <w:rPr>
          <w:b/>
        </w:rPr>
        <w:t>na sukcesywne dostawy; produktów farmaceutycznych wg zad. nr  1- 19</w:t>
      </w:r>
      <w:r w:rsidR="00EB44C1" w:rsidRPr="0095738A">
        <w:rPr>
          <w:b/>
          <w:color w:val="000000"/>
          <w:highlight w:val="white"/>
        </w:rPr>
        <w:t>.  DSUiZP 252/MS/ 24</w:t>
      </w:r>
      <w:r w:rsidRPr="0095738A">
        <w:rPr>
          <w:b/>
          <w:color w:val="000000"/>
          <w:highlight w:val="white"/>
        </w:rPr>
        <w:t xml:space="preserve"> / 2016r.</w:t>
      </w:r>
    </w:p>
    <w:p w:rsidR="008867A3" w:rsidRPr="0095738A" w:rsidRDefault="008867A3" w:rsidP="008867A3">
      <w:pPr>
        <w:ind w:left="360" w:firstLine="348"/>
        <w:jc w:val="both"/>
        <w:rPr>
          <w:b/>
          <w:color w:val="000000"/>
          <w:highlight w:val="white"/>
        </w:rPr>
      </w:pPr>
    </w:p>
    <w:p w:rsidR="008867A3" w:rsidRPr="0095738A" w:rsidRDefault="008867A3" w:rsidP="008867A3">
      <w:pPr>
        <w:ind w:left="360" w:firstLine="348"/>
        <w:jc w:val="both"/>
      </w:pPr>
      <w:r w:rsidRPr="0095738A">
        <w:t>Dyrekcja Zespołu Opieki Zdrowotnej w Końskich 26-200 ul. Gimnaz</w:t>
      </w:r>
      <w:r w:rsidR="00EB44C1" w:rsidRPr="0095738A">
        <w:t>jalna 41B informuje, że w dn. 04.11</w:t>
      </w:r>
      <w:r w:rsidRPr="0095738A">
        <w:t xml:space="preserve">.2016r. wpłynęły pytania, na które </w:t>
      </w:r>
      <w:r w:rsidR="00EB44C1" w:rsidRPr="0095738A">
        <w:t xml:space="preserve">Zamawiający </w:t>
      </w:r>
      <w:r w:rsidRPr="0095738A">
        <w:t>udziela następujących odpowiedzi;</w:t>
      </w:r>
    </w:p>
    <w:p w:rsidR="00EB44C1" w:rsidRPr="0095738A" w:rsidRDefault="00EB44C1" w:rsidP="008867A3">
      <w:pPr>
        <w:ind w:left="360" w:firstLine="348"/>
        <w:jc w:val="both"/>
      </w:pPr>
    </w:p>
    <w:p w:rsidR="00EB44C1" w:rsidRPr="0095738A" w:rsidRDefault="00EB44C1" w:rsidP="00EB44C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738A">
        <w:rPr>
          <w:sz w:val="24"/>
          <w:szCs w:val="24"/>
        </w:rPr>
        <w:t>Czy zamawiający wymaga aby lek z zadania numer 8 pozycja 1 Glatirameri acetas rozt. Do wstrzyk. 40mg/ml x 12 amp. Strzyk. Był podawany</w:t>
      </w:r>
      <w:r w:rsidR="00337C70" w:rsidRPr="0095738A">
        <w:rPr>
          <w:sz w:val="24"/>
          <w:szCs w:val="24"/>
        </w:rPr>
        <w:t xml:space="preserve"> we wstrzyknięciu podskórnym trzy razy w tygodniu, w odstępach co najmniej 48 godzin zgodnie z ChPL?</w:t>
      </w:r>
    </w:p>
    <w:p w:rsidR="00337C70" w:rsidRPr="0095738A" w:rsidRDefault="00337C70" w:rsidP="00337C70">
      <w:pPr>
        <w:ind w:left="708"/>
        <w:jc w:val="both"/>
      </w:pPr>
      <w:r w:rsidRPr="0095738A">
        <w:rPr>
          <w:b/>
        </w:rPr>
        <w:t>Odp. Pyt. 1.</w:t>
      </w:r>
      <w:r w:rsidRPr="0095738A">
        <w:t xml:space="preserve"> Zamawiający do zad. Nr 8 poz. 1 wymaga leku Glatirameri acetas rozt do wstrzykiwań w dawce 40mg/ml, opakowanie x 12 amp. Strzyk, zgodnie </w:t>
      </w:r>
      <w:r w:rsidR="0095738A">
        <w:t xml:space="preserve">z </w:t>
      </w:r>
      <w:bookmarkStart w:id="0" w:name="_GoBack"/>
      <w:bookmarkEnd w:id="0"/>
      <w:r w:rsidRPr="0095738A">
        <w:t>zapisami SIWZ.</w:t>
      </w:r>
    </w:p>
    <w:p w:rsidR="00337C70" w:rsidRPr="0095738A" w:rsidRDefault="00337C70" w:rsidP="00337C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738A">
        <w:rPr>
          <w:sz w:val="24"/>
          <w:szCs w:val="24"/>
        </w:rPr>
        <w:t>Zwracam się z uprzejmą prośbą o wyjaśnienie, czy Zamawiający wymaga zaoferowania Immunoglobuliny ludzkiej normalnej do podania dożylnego, z zarejestrowanym wskazaniem do leczenia ciężkich zakażeń bakteryjnych (posocznice), przy równoczesnym stosowaniu antybiotyków, zawierającej Immunoglobulinę M w ilości 6g?</w:t>
      </w:r>
    </w:p>
    <w:p w:rsidR="00337C70" w:rsidRPr="0095738A" w:rsidRDefault="00337C70" w:rsidP="00337C70">
      <w:pPr>
        <w:ind w:left="708"/>
        <w:jc w:val="both"/>
      </w:pPr>
      <w:r w:rsidRPr="0095738A">
        <w:rPr>
          <w:b/>
        </w:rPr>
        <w:t>Odp. Pyt. 2.</w:t>
      </w:r>
      <w:r w:rsidRPr="0095738A">
        <w:t xml:space="preserve"> Zamawiający nie wymaga, ale dopuszcza zaoferowanie w/wym produktu.</w:t>
      </w:r>
    </w:p>
    <w:p w:rsidR="00337C70" w:rsidRPr="0095738A" w:rsidRDefault="00337C70" w:rsidP="00337C7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738A">
        <w:rPr>
          <w:sz w:val="24"/>
          <w:szCs w:val="24"/>
        </w:rPr>
        <w:t>Czy Zamawiający wyrazi zgodę na zaoferowanie w zadaniu nr 15 preparatu immunoglobuliny ludzkiej normalnej</w:t>
      </w:r>
      <w:r w:rsidR="00B0448D" w:rsidRPr="0095738A">
        <w:rPr>
          <w:sz w:val="24"/>
          <w:szCs w:val="24"/>
        </w:rPr>
        <w:t>, nie posiadającej ChPL wskazania w polineuropatii i miastenii, natomiast refundowanej w leczeniu przewlekłej  zapalnej polineuropatii demienilizacyjnej (CIDP) oraz innych schorzeniach autoimmunologicznych, leczonych w oddziale neurologii w ramach programu lekowego. Leczenie przetoczeniami immunoglobulin w chorobach neurologicznych (ICD-10; G61.8, G62.8, G63.1, G70, G04.8, G73.1, G73.2, G72.4, G61.0, G36.0, M33.0, M33.1, M33.2)? w przypadku rozliczenia przetoczeń immunoglobulin w ramach wskazań programu lekowego. Leczenie przetoczeniami immunoglobulin w chorobach neurologicznych, każda immunoglobulina zastosowana we wskazaniu zgodnym z programem lekowym, jezeli jest w załączniku B Leki dostępne w ramach programu lekowego,  Wykaz refundowanych</w:t>
      </w:r>
      <w:r w:rsidR="006A2281" w:rsidRPr="0095738A">
        <w:rPr>
          <w:sz w:val="24"/>
          <w:szCs w:val="24"/>
        </w:rPr>
        <w:t xml:space="preserve"> leków, środków spożywczych specjalnego przeznaczenia żywieniowego oraz wyrobów medycznych na dzień 1 stycznia 2016r., zostanie zrefundowana także w zakresie wykraczającym poza jej wskazania rejestracyjne. Jest to zgodne z postanowieniami obwieszczenia Ministra Zdrowia, który na dzień </w:t>
      </w:r>
      <w:r w:rsidR="006A2281" w:rsidRPr="0095738A">
        <w:rPr>
          <w:sz w:val="24"/>
          <w:szCs w:val="24"/>
          <w:u w:val="single"/>
        </w:rPr>
        <w:t xml:space="preserve">1 marca 2015r. </w:t>
      </w:r>
      <w:r w:rsidR="006A2281" w:rsidRPr="0095738A">
        <w:rPr>
          <w:sz w:val="24"/>
          <w:szCs w:val="24"/>
        </w:rPr>
        <w:t>nadał status ś</w:t>
      </w:r>
      <w:r w:rsidR="006A2281" w:rsidRPr="0095738A">
        <w:rPr>
          <w:sz w:val="24"/>
          <w:szCs w:val="24"/>
        </w:rPr>
        <w:fldChar w:fldCharType="begin"/>
      </w:r>
      <w:r w:rsidR="006A2281" w:rsidRPr="0095738A">
        <w:rPr>
          <w:sz w:val="24"/>
          <w:szCs w:val="24"/>
        </w:rPr>
        <w:instrText xml:space="preserve"> LISTNUM </w:instrText>
      </w:r>
      <w:r w:rsidR="006A2281" w:rsidRPr="0095738A">
        <w:rPr>
          <w:sz w:val="24"/>
          <w:szCs w:val="24"/>
        </w:rPr>
        <w:fldChar w:fldCharType="end"/>
      </w:r>
      <w:r w:rsidR="006A2281" w:rsidRPr="0095738A">
        <w:rPr>
          <w:sz w:val="24"/>
          <w:szCs w:val="24"/>
        </w:rPr>
        <w:t xml:space="preserve">iadczenia gwarantowanego programowi </w:t>
      </w:r>
      <w:r w:rsidR="006A2281" w:rsidRPr="0095738A">
        <w:rPr>
          <w:sz w:val="24"/>
          <w:szCs w:val="24"/>
        </w:rPr>
        <w:lastRenderedPageBreak/>
        <w:t xml:space="preserve">lekowemu Leczenie przetoczeniami immunoglobulin w chorobach neurologicznych, oraz z przepisami ustawy z dnia </w:t>
      </w:r>
      <w:r w:rsidR="006A2281" w:rsidRPr="0095738A">
        <w:rPr>
          <w:sz w:val="24"/>
          <w:szCs w:val="24"/>
          <w:u w:val="single"/>
        </w:rPr>
        <w:t>12 maja 2011r</w:t>
      </w:r>
      <w:r w:rsidR="006A2281" w:rsidRPr="0095738A">
        <w:rPr>
          <w:sz w:val="24"/>
          <w:szCs w:val="24"/>
        </w:rPr>
        <w:t xml:space="preserve"> o refundacji leków, środków spożywczych specjalnego przeznaczenia żywieniowegom oraz wyrobów mmedycznych. Natomiast zgodnie z Zarządzeniem Prezesa NFZ 2015_21_DGL z dnia </w:t>
      </w:r>
      <w:r w:rsidR="006A2281" w:rsidRPr="0095738A">
        <w:rPr>
          <w:sz w:val="24"/>
          <w:szCs w:val="24"/>
          <w:u w:val="single"/>
        </w:rPr>
        <w:t>30/04/2015</w:t>
      </w:r>
      <w:r w:rsidR="006A2281" w:rsidRPr="0095738A">
        <w:rPr>
          <w:sz w:val="24"/>
          <w:szCs w:val="24"/>
        </w:rPr>
        <w:t xml:space="preserve"> obowiązującym od dnia </w:t>
      </w:r>
      <w:r w:rsidR="006A2281" w:rsidRPr="0095738A">
        <w:rPr>
          <w:sz w:val="24"/>
          <w:szCs w:val="24"/>
          <w:u w:val="single"/>
        </w:rPr>
        <w:t>1 lipca 2015</w:t>
      </w:r>
      <w:r w:rsidR="006A2281" w:rsidRPr="0095738A">
        <w:rPr>
          <w:sz w:val="24"/>
          <w:szCs w:val="24"/>
        </w:rPr>
        <w:t xml:space="preserve"> w przypadku rozlioczenia przetoczeń immunoglobulin w ramach świadczenia gwarantowanego o kodzie 5.53.01.0001401: Leczenie przetoczeniami immunoglobulin, sformułowanie: zgodnie z charakterystyką produktu leczniczego, zostało wykreślone. Immunoglobuliny są rozliczane jedynie za 1 gram przetoczonej immunoglobuliny bez konieczności spełnienia kryteriów zgodności ze </w:t>
      </w:r>
      <w:r w:rsidR="00193C06" w:rsidRPr="0095738A">
        <w:rPr>
          <w:sz w:val="24"/>
          <w:szCs w:val="24"/>
        </w:rPr>
        <w:t>wskazaniem rejestracyjnym zastosowanego produktu leczniczego. Działanie takie umożliwi Zamawiającemu uzyskanie atrakcyjnej oferty cenowej.</w:t>
      </w:r>
    </w:p>
    <w:p w:rsidR="00193C06" w:rsidRPr="0095738A" w:rsidRDefault="00193C06" w:rsidP="00193C06">
      <w:pPr>
        <w:ind w:left="708"/>
        <w:jc w:val="both"/>
      </w:pPr>
      <w:r w:rsidRPr="0095738A">
        <w:rPr>
          <w:b/>
        </w:rPr>
        <w:t>Odp. Pyt. 3. NIE</w:t>
      </w:r>
      <w:r w:rsidR="0095738A">
        <w:t>.</w:t>
      </w:r>
    </w:p>
    <w:p w:rsidR="00193C06" w:rsidRPr="0095738A" w:rsidRDefault="00193C06" w:rsidP="00193C0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95738A">
        <w:rPr>
          <w:sz w:val="24"/>
          <w:szCs w:val="24"/>
        </w:rPr>
        <w:t>Zadanie nr 18. Czy Zamawiający wyrazi zgodę na zaoferowanie w zadaniu nr 189 preparatu immunoglobuliny ludzkiej normalnej, nie posiadającej w ChPL wskazania do leczenia ciężkich zakażeń bakteryjnych (posocznice), przy równoczesnym stosowaniu antybiotyków.</w:t>
      </w:r>
    </w:p>
    <w:p w:rsidR="00193C06" w:rsidRPr="0095738A" w:rsidRDefault="00193C06" w:rsidP="00193C06">
      <w:pPr>
        <w:ind w:left="708"/>
        <w:jc w:val="both"/>
      </w:pPr>
      <w:r w:rsidRPr="0095738A">
        <w:rPr>
          <w:b/>
        </w:rPr>
        <w:t>Odp. Pyt. 4.  NIE</w:t>
      </w:r>
      <w:r w:rsidR="0095738A">
        <w:rPr>
          <w:b/>
        </w:rPr>
        <w:t>.</w:t>
      </w:r>
      <w:r w:rsidRPr="0095738A">
        <w:t xml:space="preserve"> </w:t>
      </w:r>
    </w:p>
    <w:p w:rsidR="00193C06" w:rsidRPr="0095738A" w:rsidRDefault="00193C06" w:rsidP="0095738A">
      <w:pPr>
        <w:jc w:val="both"/>
      </w:pPr>
    </w:p>
    <w:p w:rsidR="00EF774D" w:rsidRPr="0095738A" w:rsidRDefault="00EF774D" w:rsidP="008A63E3">
      <w:pPr>
        <w:autoSpaceDE w:val="0"/>
        <w:autoSpaceDN w:val="0"/>
        <w:adjustRightInd w:val="0"/>
        <w:rPr>
          <w:b/>
          <w:bCs/>
          <w:iCs/>
          <w:lang w:val="pl-PL"/>
        </w:rPr>
      </w:pPr>
    </w:p>
    <w:p w:rsidR="00EF774D" w:rsidRPr="0095738A" w:rsidRDefault="00EF774D" w:rsidP="008A63E3">
      <w:pPr>
        <w:autoSpaceDE w:val="0"/>
        <w:autoSpaceDN w:val="0"/>
        <w:adjustRightInd w:val="0"/>
        <w:rPr>
          <w:b/>
          <w:bCs/>
          <w:iCs/>
          <w:lang w:val="pl-PL"/>
        </w:rPr>
      </w:pPr>
    </w:p>
    <w:p w:rsidR="00101382" w:rsidRPr="0095738A" w:rsidRDefault="000A5ADA" w:rsidP="00F410BD">
      <w:pPr>
        <w:spacing w:line="360" w:lineRule="auto"/>
        <w:rPr>
          <w:bCs/>
          <w:lang w:val="pl-PL"/>
        </w:rPr>
      </w:pPr>
      <w:proofErr w:type="spellStart"/>
      <w:r w:rsidRPr="0095738A">
        <w:rPr>
          <w:bCs/>
          <w:lang w:val="pl-PL"/>
        </w:rPr>
        <w:t>DSUiZP</w:t>
      </w:r>
      <w:proofErr w:type="spellEnd"/>
    </w:p>
    <w:p w:rsidR="000A5ADA" w:rsidRPr="0095738A" w:rsidRDefault="000A5ADA" w:rsidP="00F410BD">
      <w:pPr>
        <w:spacing w:line="360" w:lineRule="auto"/>
        <w:rPr>
          <w:bCs/>
          <w:lang w:val="pl-PL"/>
        </w:rPr>
      </w:pPr>
      <w:r w:rsidRPr="0095738A">
        <w:rPr>
          <w:bCs/>
          <w:lang w:val="pl-PL"/>
        </w:rPr>
        <w:t>Opracował ; M Strychalski</w:t>
      </w:r>
    </w:p>
    <w:p w:rsidR="00584F76" w:rsidRPr="0095738A" w:rsidRDefault="00584F76" w:rsidP="00565DE5">
      <w:pPr>
        <w:rPr>
          <w:b/>
          <w:color w:val="0D0D0D" w:themeColor="text1" w:themeTint="F2"/>
        </w:rPr>
      </w:pPr>
    </w:p>
    <w:p w:rsidR="000D2D03" w:rsidRPr="00BA4C7D" w:rsidRDefault="000D2D03" w:rsidP="00565DE5">
      <w:pPr>
        <w:rPr>
          <w:color w:val="0D0D0D" w:themeColor="text1" w:themeTint="F2"/>
          <w:sz w:val="20"/>
          <w:szCs w:val="20"/>
        </w:rPr>
      </w:pP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</w:r>
      <w:r w:rsidRPr="00BA4C7D">
        <w:rPr>
          <w:b/>
          <w:color w:val="0D0D0D" w:themeColor="text1" w:themeTint="F2"/>
          <w:sz w:val="20"/>
          <w:szCs w:val="20"/>
        </w:rPr>
        <w:tab/>
        <w:t xml:space="preserve">     </w:t>
      </w:r>
      <w:r w:rsidR="00910586">
        <w:rPr>
          <w:color w:val="0D0D0D" w:themeColor="text1" w:themeTint="F2"/>
          <w:sz w:val="20"/>
          <w:szCs w:val="20"/>
        </w:rPr>
        <w:t xml:space="preserve">     </w:t>
      </w:r>
      <w:r w:rsidR="0095738A">
        <w:rPr>
          <w:color w:val="0D0D0D" w:themeColor="text1" w:themeTint="F2"/>
          <w:sz w:val="20"/>
          <w:szCs w:val="20"/>
        </w:rPr>
        <w:t xml:space="preserve">Z-ca </w:t>
      </w:r>
      <w:r w:rsidR="00910586">
        <w:rPr>
          <w:color w:val="0D0D0D" w:themeColor="text1" w:themeTint="F2"/>
          <w:sz w:val="20"/>
          <w:szCs w:val="20"/>
        </w:rPr>
        <w:t>Dyrektor</w:t>
      </w:r>
      <w:r w:rsidR="0095738A">
        <w:rPr>
          <w:color w:val="0D0D0D" w:themeColor="text1" w:themeTint="F2"/>
          <w:sz w:val="20"/>
          <w:szCs w:val="20"/>
        </w:rPr>
        <w:t>a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>Zespołu</w:t>
      </w:r>
      <w:r w:rsidR="000D2D03" w:rsidRPr="00BA4C7D">
        <w:rPr>
          <w:color w:val="0D0D0D" w:themeColor="text1" w:themeTint="F2"/>
          <w:sz w:val="20"/>
          <w:szCs w:val="20"/>
        </w:rPr>
        <w:t xml:space="preserve"> Opieki Zdrowotnej</w:t>
      </w:r>
    </w:p>
    <w:p w:rsidR="000D2D03" w:rsidRPr="00BA4C7D" w:rsidRDefault="00910586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  <w:t xml:space="preserve">          </w:t>
      </w:r>
      <w:r w:rsidR="000D2D03" w:rsidRPr="00BA4C7D">
        <w:rPr>
          <w:color w:val="0D0D0D" w:themeColor="text1" w:themeTint="F2"/>
          <w:sz w:val="20"/>
          <w:szCs w:val="20"/>
        </w:rPr>
        <w:t>w Końskich</w:t>
      </w:r>
    </w:p>
    <w:p w:rsidR="000D2D03" w:rsidRPr="00BA4C7D" w:rsidRDefault="00AA69CE" w:rsidP="00565DE5">
      <w:pPr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>
        <w:rPr>
          <w:color w:val="0D0D0D" w:themeColor="text1" w:themeTint="F2"/>
          <w:sz w:val="20"/>
          <w:szCs w:val="20"/>
        </w:rPr>
        <w:tab/>
      </w:r>
      <w:r w:rsidR="0095738A">
        <w:rPr>
          <w:color w:val="0D0D0D" w:themeColor="text1" w:themeTint="F2"/>
          <w:sz w:val="20"/>
          <w:szCs w:val="20"/>
        </w:rPr>
        <w:t>mgr inż Jerzy Grodzki</w:t>
      </w:r>
      <w:r w:rsidR="00910586">
        <w:rPr>
          <w:color w:val="0D0D0D" w:themeColor="text1" w:themeTint="F2"/>
          <w:sz w:val="20"/>
          <w:szCs w:val="20"/>
        </w:rPr>
        <w:t xml:space="preserve"> </w:t>
      </w:r>
    </w:p>
    <w:p w:rsidR="000D2D03" w:rsidRPr="00584F76" w:rsidRDefault="000D2D03" w:rsidP="00565DE5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</w:p>
    <w:sectPr w:rsidR="000D2D03" w:rsidRPr="0058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B82"/>
    <w:multiLevelType w:val="hybridMultilevel"/>
    <w:tmpl w:val="F85ED6B2"/>
    <w:lvl w:ilvl="0" w:tplc="C5A4B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D52C4C"/>
    <w:multiLevelType w:val="hybridMultilevel"/>
    <w:tmpl w:val="4C801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69B4"/>
    <w:multiLevelType w:val="hybridMultilevel"/>
    <w:tmpl w:val="9524320A"/>
    <w:lvl w:ilvl="0" w:tplc="5FAA8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C0423F"/>
    <w:multiLevelType w:val="hybridMultilevel"/>
    <w:tmpl w:val="91A02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6"/>
    <w:rsid w:val="000A5ADA"/>
    <w:rsid w:val="000D2D03"/>
    <w:rsid w:val="00101382"/>
    <w:rsid w:val="00193C06"/>
    <w:rsid w:val="00270828"/>
    <w:rsid w:val="002A2715"/>
    <w:rsid w:val="00337C70"/>
    <w:rsid w:val="004F1502"/>
    <w:rsid w:val="005031C1"/>
    <w:rsid w:val="00526A66"/>
    <w:rsid w:val="00545135"/>
    <w:rsid w:val="00565DE5"/>
    <w:rsid w:val="00584F76"/>
    <w:rsid w:val="006260D5"/>
    <w:rsid w:val="00674E0F"/>
    <w:rsid w:val="006A2281"/>
    <w:rsid w:val="006B5168"/>
    <w:rsid w:val="006D0116"/>
    <w:rsid w:val="008867A3"/>
    <w:rsid w:val="008A63E3"/>
    <w:rsid w:val="00910586"/>
    <w:rsid w:val="0095738A"/>
    <w:rsid w:val="009A4AD8"/>
    <w:rsid w:val="00AA69CE"/>
    <w:rsid w:val="00B0448D"/>
    <w:rsid w:val="00B50B00"/>
    <w:rsid w:val="00BA4C7D"/>
    <w:rsid w:val="00CD498D"/>
    <w:rsid w:val="00CE79CF"/>
    <w:rsid w:val="00D016BB"/>
    <w:rsid w:val="00DC3199"/>
    <w:rsid w:val="00E44048"/>
    <w:rsid w:val="00E620A7"/>
    <w:rsid w:val="00EB44C1"/>
    <w:rsid w:val="00EF774D"/>
    <w:rsid w:val="00F410BD"/>
    <w:rsid w:val="00F6078D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3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3E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63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63E3"/>
    <w:pPr>
      <w:ind w:left="720"/>
      <w:contextualSpacing/>
    </w:pPr>
    <w:rPr>
      <w:rFonts w:ascii="Calibri" w:eastAsiaTheme="minorEastAsia" w:hAnsi="Calibri"/>
      <w:color w:val="000000"/>
      <w:sz w:val="22"/>
      <w:szCs w:val="22"/>
      <w:lang w:val="nl-BE" w:eastAsia="en-US"/>
    </w:rPr>
  </w:style>
  <w:style w:type="table" w:styleId="Tabela-Siatka">
    <w:name w:val="Table Grid"/>
    <w:basedOn w:val="Standardowy"/>
    <w:uiPriority w:val="59"/>
    <w:rsid w:val="0067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2</cp:revision>
  <cp:lastPrinted>2016-11-16T09:04:00Z</cp:lastPrinted>
  <dcterms:created xsi:type="dcterms:W3CDTF">2016-11-16T09:05:00Z</dcterms:created>
  <dcterms:modified xsi:type="dcterms:W3CDTF">2016-11-16T09:05:00Z</dcterms:modified>
</cp:coreProperties>
</file>