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8" w:rsidRDefault="001C2F1B">
      <w:pPr>
        <w:rPr>
          <w:sz w:val="18"/>
          <w:szCs w:val="18"/>
        </w:rPr>
      </w:pPr>
      <w:r w:rsidRPr="001C2F1B">
        <w:rPr>
          <w:sz w:val="18"/>
          <w:szCs w:val="18"/>
        </w:rPr>
        <w:t xml:space="preserve">Załącznik </w:t>
      </w:r>
      <w:r w:rsidR="00F2066E">
        <w:rPr>
          <w:sz w:val="18"/>
          <w:szCs w:val="18"/>
        </w:rPr>
        <w:t xml:space="preserve">nr 1 </w:t>
      </w:r>
      <w:r w:rsidRPr="001C2F1B">
        <w:rPr>
          <w:sz w:val="18"/>
          <w:szCs w:val="18"/>
        </w:rPr>
        <w:t>do Z</w:t>
      </w:r>
      <w:r w:rsidR="00224A46">
        <w:rPr>
          <w:sz w:val="18"/>
          <w:szCs w:val="18"/>
        </w:rPr>
        <w:t xml:space="preserve">aproszenia nr sp. </w:t>
      </w:r>
      <w:proofErr w:type="spellStart"/>
      <w:r w:rsidR="00224A46">
        <w:rPr>
          <w:sz w:val="18"/>
          <w:szCs w:val="18"/>
        </w:rPr>
        <w:t>DSUiZP</w:t>
      </w:r>
      <w:proofErr w:type="spellEnd"/>
      <w:r w:rsidR="00224A46">
        <w:rPr>
          <w:sz w:val="18"/>
          <w:szCs w:val="18"/>
        </w:rPr>
        <w:t xml:space="preserve"> 24/MS/58</w:t>
      </w:r>
      <w:r w:rsidRPr="001C2F1B">
        <w:rPr>
          <w:sz w:val="18"/>
          <w:szCs w:val="18"/>
        </w:rPr>
        <w:t>/2017</w:t>
      </w:r>
    </w:p>
    <w:p w:rsidR="001C2F1B" w:rsidRPr="005E42B0" w:rsidRDefault="001C2F1B">
      <w:pPr>
        <w:rPr>
          <w:b/>
          <w:sz w:val="20"/>
          <w:szCs w:val="20"/>
        </w:rPr>
      </w:pPr>
      <w:r>
        <w:rPr>
          <w:sz w:val="18"/>
          <w:szCs w:val="18"/>
        </w:rPr>
        <w:t>Dotyczy zakupu, -</w:t>
      </w:r>
      <w:r w:rsidR="00224A46">
        <w:rPr>
          <w:sz w:val="18"/>
          <w:szCs w:val="18"/>
        </w:rPr>
        <w:t xml:space="preserve">zestawu do </w:t>
      </w:r>
      <w:proofErr w:type="spellStart"/>
      <w:r w:rsidR="00224A46">
        <w:rPr>
          <w:sz w:val="18"/>
          <w:szCs w:val="18"/>
        </w:rPr>
        <w:t>wideointubacji</w:t>
      </w:r>
      <w:proofErr w:type="spellEnd"/>
      <w:r w:rsidR="00224A46">
        <w:rPr>
          <w:sz w:val="18"/>
          <w:szCs w:val="18"/>
        </w:rPr>
        <w:t xml:space="preserve"> firmy Karl </w:t>
      </w:r>
      <w:proofErr w:type="spellStart"/>
      <w:r w:rsidR="00224A46">
        <w:rPr>
          <w:sz w:val="18"/>
          <w:szCs w:val="18"/>
        </w:rPr>
        <w:t>Storz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42B0">
        <w:rPr>
          <w:b/>
          <w:sz w:val="20"/>
          <w:szCs w:val="20"/>
        </w:rPr>
        <w:t>FORMULARZ Cenowy Wykonawcy</w:t>
      </w:r>
      <w:r w:rsidR="00224A46">
        <w:rPr>
          <w:b/>
          <w:sz w:val="20"/>
          <w:szCs w:val="20"/>
        </w:rPr>
        <w:t xml:space="preserve"> – zał. nr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7309"/>
        <w:gridCol w:w="1091"/>
        <w:gridCol w:w="1182"/>
        <w:gridCol w:w="804"/>
        <w:gridCol w:w="1134"/>
        <w:gridCol w:w="709"/>
        <w:gridCol w:w="1559"/>
      </w:tblGrid>
      <w:tr w:rsidR="00DC52A1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opis przedmiotu zamówienia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Zaof</w:t>
            </w:r>
            <w:proofErr w:type="spellEnd"/>
            <w:r>
              <w:rPr>
                <w:sz w:val="18"/>
                <w:szCs w:val="18"/>
              </w:rPr>
              <w:t>. Typ/model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 w:rsidR="00224A46">
              <w:rPr>
                <w:sz w:val="18"/>
                <w:szCs w:val="18"/>
              </w:rPr>
              <w:t>/</w:t>
            </w:r>
            <w:proofErr w:type="spellStart"/>
            <w:r w:rsidR="00224A46">
              <w:rPr>
                <w:sz w:val="18"/>
                <w:szCs w:val="18"/>
              </w:rPr>
              <w:t>zest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709" w:type="dxa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Wart. </w:t>
            </w:r>
            <w:r w:rsidR="001C2F1B">
              <w:rPr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DC52A1" w:rsidTr="001C2F1B">
        <w:tc>
          <w:tcPr>
            <w:tcW w:w="0" w:type="auto"/>
          </w:tcPr>
          <w:p w:rsidR="001C2F1B" w:rsidRDefault="005E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224A46" w:rsidRDefault="00224A46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Przenośny tor wizyjny</w:t>
            </w:r>
          </w:p>
          <w:p w:rsidR="00224A46" w:rsidRDefault="00224A46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składający się ze zintegrowanego na stała w jednym urządzeniu;</w:t>
            </w:r>
          </w:p>
          <w:p w:rsidR="00F60518" w:rsidRDefault="00224A46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kolorowego </w:t>
            </w:r>
            <w:r w:rsidR="00F60518">
              <w:rPr>
                <w:rFonts w:ascii="Calibri" w:hAnsi="Calibri"/>
                <w:b/>
                <w:color w:val="000000"/>
                <w:sz w:val="18"/>
                <w:szCs w:val="18"/>
              </w:rPr>
              <w:t>monitora LCD</w:t>
            </w:r>
          </w:p>
          <w:p w:rsidR="00F60518" w:rsidRDefault="00F60518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żródła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światła LED</w:t>
            </w:r>
          </w:p>
          <w:p w:rsidR="00F60518" w:rsidRDefault="00F60518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modułu do dokumentacji obrazu</w:t>
            </w:r>
          </w:p>
          <w:p w:rsidR="00F60518" w:rsidRDefault="00F60518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sterownika kamery do podłączenia głowicy kamery</w:t>
            </w:r>
            <w:r w:rsidR="00224A4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DC52A1" w:rsidRPr="00284142" w:rsidRDefault="00F60518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Opis; </w:t>
            </w:r>
          </w:p>
          <w:p w:rsidR="00DC52A1" w:rsidRPr="00284142" w:rsidRDefault="00DC52A1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Kompatybilność</w:t>
            </w:r>
            <w:r w:rsidR="00F60518"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toru</w:t>
            </w: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wizyjnego z posiadaną przez Zamawiającego głowicą kamery</w:t>
            </w:r>
            <w:r w:rsidR="00F60518"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F95A35"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Telecam</w:t>
            </w:r>
            <w:proofErr w:type="spellEnd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firmy Karl </w:t>
            </w:r>
            <w:proofErr w:type="spellStart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Storz</w:t>
            </w:r>
            <w:proofErr w:type="spellEnd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. Obsługa funkcji urządzenia poprzez przyciski posiadanej przez Zamawiającego głowicy </w:t>
            </w:r>
            <w:proofErr w:type="spellStart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Telecam</w:t>
            </w:r>
            <w:proofErr w:type="spellEnd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f</w:t>
            </w:r>
            <w:r w:rsidR="00A27CA7" w:rsidRPr="00284142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 Karl </w:t>
            </w:r>
            <w:proofErr w:type="spellStart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Storz</w:t>
            </w:r>
            <w:proofErr w:type="spellEnd"/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 xml:space="preserve">, przyciski funkcyjne umieszczone na obudowie urządzenia oraz poprzez podłączoną klawiaturę. Obudowa urządzenia wyposażona w: </w:t>
            </w:r>
          </w:p>
          <w:p w:rsidR="001C2F1B" w:rsidRPr="00284142" w:rsidRDefault="00DC52A1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- mocowanie VESA do statywu jezdnego</w:t>
            </w:r>
          </w:p>
          <w:p w:rsidR="00DC52A1" w:rsidRPr="00284142" w:rsidRDefault="00DC52A1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- uchwyt do transportu ręcznego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Zintegrowany w urządzeniu kolorowy monitor LCD o parametrach: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przekątna ekranu min. 15”,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rozdzielczość min. 1024 x 768 pikseli,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kontrast min. 700:1,</w:t>
            </w:r>
          </w:p>
          <w:p w:rsidR="00284142" w:rsidRPr="00284142" w:rsidRDefault="00284142" w:rsidP="00284142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głębia kolorów min. 24 bity</w:t>
            </w:r>
          </w:p>
          <w:p w:rsidR="00284142" w:rsidRPr="00284142" w:rsidRDefault="00284142" w:rsidP="00284142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Zintegrowane w urządzeniu źródło światła LED generujące światło o temperaturze barwowej 6200K - 6400K, żywotność LED min. 28000 godz.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 xml:space="preserve">Konstrukcja urządzenia umożliwiająca podłączenie dedykowanego giętkich </w:t>
            </w:r>
            <w:proofErr w:type="spellStart"/>
            <w:r w:rsidRPr="00284142">
              <w:rPr>
                <w:sz w:val="16"/>
                <w:szCs w:val="16"/>
              </w:rPr>
              <w:t>wideobronchoskopu</w:t>
            </w:r>
            <w:proofErr w:type="spellEnd"/>
            <w:r w:rsidRPr="00284142">
              <w:rPr>
                <w:sz w:val="16"/>
                <w:szCs w:val="16"/>
              </w:rPr>
              <w:t xml:space="preserve"> z kamerą wbudowaną w koniec dystalny sondy wziernikowej. Zintegrowane w urządzeniu min. 4 gniazda USB do podłączenia: 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 xml:space="preserve">- pamięci </w:t>
            </w:r>
            <w:proofErr w:type="spellStart"/>
            <w:r w:rsidRPr="00284142">
              <w:rPr>
                <w:sz w:val="16"/>
                <w:szCs w:val="16"/>
              </w:rPr>
              <w:t>PenDrive</w:t>
            </w:r>
            <w:proofErr w:type="spellEnd"/>
            <w:r w:rsidRPr="00284142">
              <w:rPr>
                <w:sz w:val="16"/>
                <w:szCs w:val="16"/>
              </w:rPr>
              <w:t xml:space="preserve">, 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 xml:space="preserve">- klawiatury, </w:t>
            </w:r>
          </w:p>
          <w:p w:rsidR="00284142" w:rsidRPr="00284142" w:rsidRDefault="00284142" w:rsidP="00284142">
            <w:pPr>
              <w:spacing w:before="60" w:after="60" w:line="276" w:lineRule="auto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 xml:space="preserve">- myszki, </w:t>
            </w:r>
          </w:p>
          <w:p w:rsidR="00284142" w:rsidRPr="00284142" w:rsidRDefault="00284142" w:rsidP="00B64F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dedykowanej drukarki</w:t>
            </w:r>
          </w:p>
          <w:p w:rsidR="00284142" w:rsidRPr="00284142" w:rsidRDefault="00284142" w:rsidP="00284142">
            <w:pPr>
              <w:autoSpaceDE w:val="0"/>
              <w:autoSpaceDN w:val="0"/>
              <w:adjustRightInd w:val="0"/>
              <w:ind w:firstLine="284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 xml:space="preserve">Zintegrowane w urządzeniu gniazdo kart pamięci SD Zintegrowane w urządzeniu wejście DVI-D umożliwiające podłączenie zewnętrznego źródła sygnału wideo Zintegrowane w urządzeniu wyjście DVI-D umożliwiające podłączenie do zewnętrznego monitora Zintegrowane w urządzeniu gniazdo Line-In umożliwiające zapis filmów z dźwiękiem poprzez opcjonalny mikrofon Zintegrowane gniazdo RJ45 do podłączenia urządzenia do szpitalnej sieci informatycznej. Zintegrowany w urządzeniu głośnik. Zintegrowane w urządzeniu gniazdo do podłączenia przełącznika nożnego do uruchamiania zapisu zdjęć i filmów. Funkcję rejestracji zdjęć w formacie </w:t>
            </w:r>
            <w:proofErr w:type="spellStart"/>
            <w:r w:rsidRPr="00284142">
              <w:rPr>
                <w:sz w:val="16"/>
                <w:szCs w:val="16"/>
              </w:rPr>
              <w:t>jpeg</w:t>
            </w:r>
            <w:proofErr w:type="spellEnd"/>
            <w:r w:rsidRPr="00284142">
              <w:rPr>
                <w:sz w:val="16"/>
                <w:szCs w:val="16"/>
              </w:rPr>
              <w:t xml:space="preserve"> i filmów w formacie mpeg4 w pamięci </w:t>
            </w:r>
            <w:proofErr w:type="spellStart"/>
            <w:r w:rsidRPr="00284142">
              <w:rPr>
                <w:sz w:val="16"/>
                <w:szCs w:val="16"/>
              </w:rPr>
              <w:t>PenDrive</w:t>
            </w:r>
            <w:proofErr w:type="spellEnd"/>
            <w:r w:rsidRPr="00284142">
              <w:rPr>
                <w:sz w:val="16"/>
                <w:szCs w:val="16"/>
              </w:rPr>
              <w:t xml:space="preserve"> lub na karcie pamięci SD z możliwości wyboru nośnika. Funkcja odtwarzania zarejestrowanych zdjęć i filmów bezpośrednio na ekranie monitora urządzenia. Funkcja zapisu notatek dźwiękowych. Funkcja eliminacji siatki fibroskopu z możliwością włączenia i wyłączenia dostępna w dowolnym momencie z głowicy kamery. Funkcję cyfrowego uwydatnienia </w:t>
            </w:r>
            <w:r w:rsidRPr="00284142">
              <w:rPr>
                <w:sz w:val="16"/>
                <w:szCs w:val="16"/>
              </w:rPr>
              <w:lastRenderedPageBreak/>
              <w:t xml:space="preserve">kontrastu. Funkcja regulacji jasności, czasu migawki oraz kolorów. Funkcja obrotu obrazu o 180°. Funkcja wprowadzania informacji o pacjencie takich jak imię i nazwisko, płeć, data urodzenia, nazwa procedury, nazwisko lekarza, komentarza w odpowiednio przeznaczonych do tego celu polach. Funkcja </w:t>
            </w:r>
            <w:proofErr w:type="spellStart"/>
            <w:r w:rsidRPr="00284142">
              <w:rPr>
                <w:sz w:val="16"/>
                <w:szCs w:val="16"/>
              </w:rPr>
              <w:t>zoom'u</w:t>
            </w:r>
            <w:proofErr w:type="spellEnd"/>
            <w:r w:rsidRPr="00284142">
              <w:rPr>
                <w:sz w:val="16"/>
                <w:szCs w:val="16"/>
              </w:rPr>
              <w:t xml:space="preserve"> cyfrowego min. 2 x. Funkcja zapisu w pamięci wewnętrznej urządzenia profili użytkowników z indywidualnymi ustawieniami funkcji urządzenia. Zapis min. 5 indywidualnych profili użytkowników. </w:t>
            </w:r>
          </w:p>
          <w:p w:rsidR="00284142" w:rsidRPr="00284142" w:rsidRDefault="00284142" w:rsidP="00284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W zestawie:</w:t>
            </w:r>
          </w:p>
          <w:p w:rsidR="00284142" w:rsidRPr="00284142" w:rsidRDefault="00284142" w:rsidP="00284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zmywalna klawiatura USB, stopień ochrony IP68</w:t>
            </w:r>
          </w:p>
          <w:p w:rsidR="00DC52A1" w:rsidRPr="00284142" w:rsidRDefault="00284142" w:rsidP="0028414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4142">
              <w:rPr>
                <w:sz w:val="16"/>
                <w:szCs w:val="16"/>
              </w:rPr>
              <w:t>- pamięć Pen Drive o pojemności min. 8 GB</w:t>
            </w:r>
          </w:p>
          <w:p w:rsidR="00DC52A1" w:rsidRPr="00F95A35" w:rsidRDefault="00DC52A1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84142">
              <w:rPr>
                <w:rFonts w:ascii="Calibri" w:hAnsi="Calibri"/>
                <w:color w:val="000000"/>
                <w:sz w:val="16"/>
                <w:szCs w:val="16"/>
              </w:rPr>
              <w:t>- instrukcja obsługi w jeż. Polskim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DC52A1" w:rsidTr="001C2F1B"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</w:tcPr>
          <w:p w:rsidR="001C2F1B" w:rsidRDefault="00DC52A1" w:rsidP="00DC52A1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C52A1">
              <w:rPr>
                <w:rFonts w:ascii="Calibri" w:hAnsi="Calibri"/>
                <w:b/>
                <w:color w:val="000000"/>
                <w:sz w:val="18"/>
                <w:szCs w:val="18"/>
              </w:rPr>
              <w:t>Statyw jezdny</w:t>
            </w:r>
          </w:p>
          <w:p w:rsidR="00B64FDE" w:rsidRPr="00B64FDE" w:rsidRDefault="00B64FDE" w:rsidP="00DC52A1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4FDE">
              <w:rPr>
                <w:rFonts w:ascii="Calibri" w:hAnsi="Calibri"/>
                <w:color w:val="000000"/>
                <w:sz w:val="16"/>
                <w:szCs w:val="16"/>
              </w:rPr>
              <w:t>Opis: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>Statyw jezdny do zamocowania przenośnego toru wizyjnego, wyposażony w: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>- min. 1 półkę,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>- podstawę jezdną na 4 kołach z min. 2 kołami wyposażonymi w blokadę,</w:t>
            </w:r>
          </w:p>
          <w:p w:rsidR="00B64FDE" w:rsidRPr="00DC52A1" w:rsidRDefault="00B64FDE" w:rsidP="003325C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4FDE">
              <w:rPr>
                <w:sz w:val="16"/>
                <w:szCs w:val="16"/>
              </w:rPr>
              <w:t>- uchwyt VESA 100 do zamocowania monitora z możliwością regulacji wysokości, pochylenia i rotacji monitora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95A35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DC52A1" w:rsidTr="001C2F1B"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DC52A1" w:rsidRDefault="00DC52A1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27CA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Bronchofiberoskop </w:t>
            </w:r>
          </w:p>
          <w:p w:rsidR="00A27CA7" w:rsidRPr="00B64FDE" w:rsidRDefault="00A27CA7" w:rsidP="00F95A35">
            <w:pPr>
              <w:autoSpaceDE w:val="0"/>
              <w:autoSpaceDN w:val="0"/>
              <w:adjustRightInd w:val="0"/>
              <w:ind w:firstLine="284"/>
              <w:rPr>
                <w:rFonts w:ascii="Calibri" w:hAnsi="Calibri"/>
                <w:color w:val="000000"/>
                <w:sz w:val="16"/>
                <w:szCs w:val="16"/>
              </w:rPr>
            </w:pPr>
            <w:r w:rsidRPr="00B64FDE">
              <w:rPr>
                <w:rFonts w:ascii="Calibri" w:hAnsi="Calibri"/>
                <w:color w:val="000000"/>
                <w:sz w:val="16"/>
                <w:szCs w:val="16"/>
              </w:rPr>
              <w:t>Opis;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>Bronchofiberoskop optyczny, wyposażony w okular umożliwiający podłączenie standardowej głowicy kamery. Okular wyposażony w pokrętło do regulacji ostrości z podziałką. Średnica zewnętrzna końcówki dystalnej sondy wziernikowej: nie większa niż 5,6 mm. Średnica kanału roboczego: nie mniejsza niż 2,6 mm. Maksymalne wygięcie końcówki dystalnej sondy wziernikowej nie mniejsze niż: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>- do góry: 180°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>- do dołu: 100°</w:t>
            </w:r>
          </w:p>
          <w:p w:rsidR="00B64FDE" w:rsidRPr="00B64FDE" w:rsidRDefault="00B64FDE" w:rsidP="00B64FDE">
            <w:pPr>
              <w:spacing w:before="60" w:after="60" w:line="276" w:lineRule="auto"/>
              <w:rPr>
                <w:sz w:val="16"/>
                <w:szCs w:val="16"/>
              </w:rPr>
            </w:pPr>
            <w:r w:rsidRPr="00B64FDE">
              <w:rPr>
                <w:sz w:val="16"/>
                <w:szCs w:val="16"/>
              </w:rPr>
              <w:t xml:space="preserve">regulowane przy pomocy dźwigni znajdującej się w części proksymalnej bronchofiberoskopu. Kąt pola widzenia: 100° - 110°. Długość robocza sondy wziernikowej: 50 cm - 55 cm. Długość całkowita bronchofiberoskopu: nie większa niż 85 cm. Zintegrowane w części proksymalnej bronchofiberoskopu gniazdo do zamocowania wymiennych zaworów ssących. Wymienne zawory ssące wyposażone w zintegrowane przyłącze do podłączenia drenu do odsysania oraz przycisk do aktywacji odsysania. Dren do odsysania podłączany do bronchofiberoskopu za pośrednictwem wymiennego zaworu ssącego. </w:t>
            </w:r>
            <w:r w:rsidRPr="00B64FDE">
              <w:rPr>
                <w:rFonts w:ascii="Calibri" w:hAnsi="Calibri"/>
                <w:color w:val="000000"/>
                <w:sz w:val="16"/>
                <w:szCs w:val="16"/>
              </w:rPr>
              <w:t xml:space="preserve">Możliwość zmocowania wymiennego zaworu ssącego w gnieździe w min. 2 pozycjach w celu optymalnego podłączenia drenu do odsysania do przyłącza. </w:t>
            </w:r>
            <w:r w:rsidRPr="00B64FDE">
              <w:rPr>
                <w:sz w:val="16"/>
                <w:szCs w:val="16"/>
              </w:rPr>
              <w:t xml:space="preserve">Bronchofiberoskop wyposażony w przyłącze światłowodu umożliwiający bezpośrednie podłączenie bateryjnego źródła światła jak również wymiennych światłowodów popularnych firm jak </w:t>
            </w:r>
            <w:proofErr w:type="spellStart"/>
            <w:r w:rsidRPr="00B64FDE">
              <w:rPr>
                <w:sz w:val="16"/>
                <w:szCs w:val="16"/>
              </w:rPr>
              <w:t>Storz</w:t>
            </w:r>
            <w:proofErr w:type="spellEnd"/>
            <w:r w:rsidRPr="00B64FDE">
              <w:rPr>
                <w:sz w:val="16"/>
                <w:szCs w:val="16"/>
              </w:rPr>
              <w:t xml:space="preserve">, Olympus, R. Wolf, bez stosowania dodatkowych adapterów. Wymienne zawory ssące dostępny w wersji jednorazowej oraz wielorazowej (nadające się do sterylizacji). Niezależne wejście do kanału roboczego bronchofiberoskopu wyposażone w adapter LUER i gumową, </w:t>
            </w:r>
            <w:proofErr w:type="spellStart"/>
            <w:r w:rsidRPr="00B64FDE">
              <w:rPr>
                <w:sz w:val="16"/>
                <w:szCs w:val="16"/>
              </w:rPr>
              <w:t>autoklawowalną</w:t>
            </w:r>
            <w:proofErr w:type="spellEnd"/>
            <w:r w:rsidRPr="00B64FDE">
              <w:rPr>
                <w:sz w:val="16"/>
                <w:szCs w:val="16"/>
              </w:rPr>
              <w:t xml:space="preserve"> zatyczkę. Bronchofiberoskop nadający się do sterylizacji w </w:t>
            </w:r>
            <w:proofErr w:type="spellStart"/>
            <w:r w:rsidRPr="00B64FDE">
              <w:rPr>
                <w:sz w:val="16"/>
                <w:szCs w:val="16"/>
              </w:rPr>
              <w:t>EtO</w:t>
            </w:r>
            <w:proofErr w:type="spellEnd"/>
            <w:r w:rsidRPr="00B64FDE">
              <w:rPr>
                <w:sz w:val="16"/>
                <w:szCs w:val="16"/>
              </w:rPr>
              <w:t xml:space="preserve"> i STERRAD.</w:t>
            </w:r>
          </w:p>
          <w:p w:rsidR="001C2F1B" w:rsidRPr="00B64FDE" w:rsidRDefault="00F95A35" w:rsidP="00B64FDE">
            <w:pPr>
              <w:spacing w:before="60" w:after="60" w:line="276" w:lineRule="auto"/>
            </w:pPr>
            <w:r w:rsidRPr="00B64FDE">
              <w:rPr>
                <w:rFonts w:ascii="Calibri" w:hAnsi="Calibri"/>
                <w:color w:val="000000"/>
                <w:sz w:val="16"/>
                <w:szCs w:val="16"/>
              </w:rPr>
              <w:t xml:space="preserve">- instrukcja w jez. Polskim 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DC5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F95A35">
              <w:rPr>
                <w:sz w:val="18"/>
                <w:szCs w:val="18"/>
              </w:rPr>
              <w:t>szt.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DC52A1" w:rsidTr="001C2F1B">
        <w:tc>
          <w:tcPr>
            <w:tcW w:w="0" w:type="auto"/>
          </w:tcPr>
          <w:p w:rsidR="001C2F1B" w:rsidRDefault="00F9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1C2F1B" w:rsidRPr="00A27CA7" w:rsidRDefault="00F95A35" w:rsidP="00A27CA7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="00A27CA7" w:rsidRPr="00A27CA7">
              <w:rPr>
                <w:rFonts w:ascii="Calibri" w:hAnsi="Calibri"/>
                <w:b/>
                <w:color w:val="000000"/>
                <w:sz w:val="18"/>
                <w:szCs w:val="18"/>
              </w:rPr>
              <w:t>Wideolaryngoskop</w:t>
            </w:r>
            <w:proofErr w:type="spellEnd"/>
            <w:r w:rsidR="00A27CA7" w:rsidRPr="00A27CA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wielorazowy</w:t>
            </w:r>
          </w:p>
          <w:p w:rsidR="00A27CA7" w:rsidRPr="003325C9" w:rsidRDefault="00A27CA7" w:rsidP="00A27C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25C9">
              <w:rPr>
                <w:rFonts w:ascii="Calibri" w:hAnsi="Calibri"/>
                <w:color w:val="000000"/>
                <w:sz w:val="16"/>
                <w:szCs w:val="16"/>
              </w:rPr>
              <w:t>Opis;</w:t>
            </w:r>
          </w:p>
          <w:p w:rsidR="003325C9" w:rsidRPr="003325C9" w:rsidRDefault="00B64FDE" w:rsidP="003325C9">
            <w:pPr>
              <w:spacing w:before="60" w:after="60" w:line="276" w:lineRule="auto"/>
              <w:rPr>
                <w:sz w:val="16"/>
                <w:szCs w:val="16"/>
              </w:rPr>
            </w:pPr>
            <w:proofErr w:type="spellStart"/>
            <w:r w:rsidRPr="003325C9">
              <w:rPr>
                <w:sz w:val="16"/>
                <w:szCs w:val="16"/>
              </w:rPr>
              <w:t>Wideolaryngoskop</w:t>
            </w:r>
            <w:proofErr w:type="spellEnd"/>
            <w:r w:rsidRPr="003325C9">
              <w:rPr>
                <w:sz w:val="16"/>
                <w:szCs w:val="16"/>
              </w:rPr>
              <w:t xml:space="preserve"> złożony z odłączanego monitora LCD oraz wielorazowego </w:t>
            </w:r>
            <w:proofErr w:type="spellStart"/>
            <w:r w:rsidRPr="003325C9">
              <w:rPr>
                <w:sz w:val="16"/>
                <w:szCs w:val="16"/>
              </w:rPr>
              <w:t>wideolaryngoskopu</w:t>
            </w:r>
            <w:proofErr w:type="spellEnd"/>
            <w:r w:rsidRPr="003325C9">
              <w:rPr>
                <w:sz w:val="16"/>
                <w:szCs w:val="16"/>
              </w:rPr>
              <w:t xml:space="preserve"> ze zintegrowaną rękojeścią, przetwornikiem obrazowym CMOS oraz oświetleniem LED. Parametry monitora: </w:t>
            </w:r>
            <w:r w:rsidRPr="003325C9">
              <w:rPr>
                <w:sz w:val="16"/>
                <w:szCs w:val="16"/>
              </w:rPr>
              <w:lastRenderedPageBreak/>
              <w:t xml:space="preserve">Monitor z kolorowym ekranem LCD o przekątnej min. 3" wyposażony w </w:t>
            </w:r>
            <w:proofErr w:type="spellStart"/>
            <w:r w:rsidRPr="003325C9">
              <w:rPr>
                <w:sz w:val="16"/>
                <w:szCs w:val="16"/>
              </w:rPr>
              <w:t>bezgwintowy</w:t>
            </w:r>
            <w:proofErr w:type="spellEnd"/>
            <w:r w:rsidRPr="003325C9">
              <w:rPr>
                <w:sz w:val="16"/>
                <w:szCs w:val="16"/>
              </w:rPr>
              <w:t xml:space="preserve"> interfejs do bezpośredniego połączenia z rękojeścią </w:t>
            </w:r>
            <w:proofErr w:type="spellStart"/>
            <w:r w:rsidRPr="003325C9">
              <w:rPr>
                <w:sz w:val="16"/>
                <w:szCs w:val="16"/>
              </w:rPr>
              <w:t>wideolaryngoskopu</w:t>
            </w:r>
            <w:proofErr w:type="spellEnd"/>
            <w:r w:rsidRPr="003325C9">
              <w:rPr>
                <w:sz w:val="16"/>
                <w:szCs w:val="16"/>
              </w:rPr>
              <w:t>. Rozdzielczość ekranu min. 640 x 480 pikseli. Kąt widzenia min. 160°. Możliwość regulacji ustawienia pozycji monitora. Wyposażony w odłączany akumulator Li-</w:t>
            </w:r>
            <w:proofErr w:type="spellStart"/>
            <w:r w:rsidRPr="003325C9">
              <w:rPr>
                <w:sz w:val="16"/>
                <w:szCs w:val="16"/>
              </w:rPr>
              <w:t>Ion</w:t>
            </w:r>
            <w:proofErr w:type="spellEnd"/>
            <w:r w:rsidRPr="003325C9">
              <w:rPr>
                <w:sz w:val="16"/>
                <w:szCs w:val="16"/>
              </w:rPr>
              <w:t xml:space="preserve"> zapewniający pracę przez min. 60 min., ładowarka sieciowa w zestawie. Graficzny wskaźnik informujący o poziomie naładowaniu akumulatora wyświetlany na ekranie monitora. Włączanie / wyłączenie monitora poprzez ustawienie monitora w pozycji otwartej / złożonej, bez użycia przycisków. Monitor wyposażony w funkcję oszczędności energii - automatyczne wyłączenie monitora po ok. 10 minutach. Monitor wyposażony w pamięć wewnętrzną do zapisu zdjęć i filmów z możliwością podłączenia monitora do komputera w celu odtwarzania i kopiowania zapisanego materiału, w zestawie przewód USB do połączenia z komputerem. Uruchamianie zapisu zdjęć i filmów poprzez przycisk na rękojeści </w:t>
            </w:r>
            <w:proofErr w:type="spellStart"/>
            <w:r w:rsidRPr="003325C9">
              <w:rPr>
                <w:sz w:val="16"/>
                <w:szCs w:val="16"/>
              </w:rPr>
              <w:t>wideolaryngoskopu</w:t>
            </w:r>
            <w:proofErr w:type="spellEnd"/>
            <w:r w:rsidRPr="003325C9">
              <w:rPr>
                <w:sz w:val="16"/>
                <w:szCs w:val="16"/>
              </w:rPr>
              <w:t xml:space="preserve">. Możliwość </w:t>
            </w:r>
            <w:proofErr w:type="spellStart"/>
            <w:r w:rsidRPr="003325C9">
              <w:rPr>
                <w:sz w:val="16"/>
                <w:szCs w:val="16"/>
              </w:rPr>
              <w:t>reprocesingu</w:t>
            </w:r>
            <w:proofErr w:type="spellEnd"/>
            <w:r w:rsidRPr="003325C9">
              <w:rPr>
                <w:sz w:val="16"/>
                <w:szCs w:val="16"/>
              </w:rPr>
              <w:t xml:space="preserve"> monitora metodą manualną (pełne zanurzenie w roztworze, klasa ochrony min. IPX8) oraz STERRAD. Parametry </w:t>
            </w:r>
            <w:proofErr w:type="spellStart"/>
            <w:r w:rsidRPr="003325C9">
              <w:rPr>
                <w:sz w:val="16"/>
                <w:szCs w:val="16"/>
              </w:rPr>
              <w:t>wideolaryngoskopu</w:t>
            </w:r>
            <w:proofErr w:type="spellEnd"/>
            <w:r w:rsidRPr="003325C9">
              <w:rPr>
                <w:sz w:val="16"/>
                <w:szCs w:val="16"/>
              </w:rPr>
              <w:t xml:space="preserve">: </w:t>
            </w:r>
            <w:proofErr w:type="spellStart"/>
            <w:r w:rsidRPr="003325C9">
              <w:rPr>
                <w:sz w:val="16"/>
                <w:szCs w:val="16"/>
              </w:rPr>
              <w:t>Wideolaryngoskop</w:t>
            </w:r>
            <w:proofErr w:type="spellEnd"/>
            <w:r w:rsidRPr="003325C9">
              <w:rPr>
                <w:sz w:val="16"/>
                <w:szCs w:val="16"/>
              </w:rPr>
              <w:t xml:space="preserve"> ze zintegrowaną na stałe łopatką i rękojeścią, w pełni wielorazowy, wykonany z metalu. </w:t>
            </w:r>
            <w:r w:rsidR="003325C9" w:rsidRPr="003325C9">
              <w:rPr>
                <w:sz w:val="16"/>
                <w:szCs w:val="16"/>
              </w:rPr>
              <w:t xml:space="preserve">Łopatka </w:t>
            </w:r>
            <w:proofErr w:type="spellStart"/>
            <w:r w:rsidR="003325C9" w:rsidRPr="003325C9">
              <w:rPr>
                <w:sz w:val="16"/>
                <w:szCs w:val="16"/>
              </w:rPr>
              <w:t>wideolaryngoskopu</w:t>
            </w:r>
            <w:proofErr w:type="spellEnd"/>
            <w:r w:rsidR="003325C9" w:rsidRPr="003325C9">
              <w:rPr>
                <w:sz w:val="16"/>
                <w:szCs w:val="16"/>
              </w:rPr>
              <w:t xml:space="preserve"> o kształcie i rozmiarze Macintosh #3. Przetworniki obrazowy CMOS oraz dioda oświetleniowa LED zintegrowane w części dystalnej łopatki. Układ optyczny przetwornika obrazowego zapewniający wizualizację końca łopatki na ekranie monitora w trakcie intubacji. Rękojeść </w:t>
            </w:r>
            <w:proofErr w:type="spellStart"/>
            <w:r w:rsidR="003325C9" w:rsidRPr="003325C9">
              <w:rPr>
                <w:sz w:val="16"/>
                <w:szCs w:val="16"/>
              </w:rPr>
              <w:t>wideolaryngoskopu</w:t>
            </w:r>
            <w:proofErr w:type="spellEnd"/>
            <w:r w:rsidR="003325C9" w:rsidRPr="003325C9">
              <w:rPr>
                <w:sz w:val="16"/>
                <w:szCs w:val="16"/>
              </w:rPr>
              <w:t xml:space="preserve"> wyposażona w jeden przycisk do uruchamiania zapisu zdjęć i filmów w podłączonym monitorze (obsługa poprzez długie i krótkie wciśnięcie przycisku). Podłączanie </w:t>
            </w:r>
            <w:proofErr w:type="spellStart"/>
            <w:r w:rsidR="003325C9" w:rsidRPr="003325C9">
              <w:rPr>
                <w:sz w:val="16"/>
                <w:szCs w:val="16"/>
              </w:rPr>
              <w:t>wideolaryngoskopu</w:t>
            </w:r>
            <w:proofErr w:type="spellEnd"/>
            <w:r w:rsidR="003325C9" w:rsidRPr="003325C9">
              <w:rPr>
                <w:sz w:val="16"/>
                <w:szCs w:val="16"/>
              </w:rPr>
              <w:t xml:space="preserve"> do monitora:</w:t>
            </w:r>
          </w:p>
          <w:p w:rsidR="003325C9" w:rsidRPr="003325C9" w:rsidRDefault="003325C9" w:rsidP="003325C9">
            <w:pPr>
              <w:spacing w:before="60" w:after="60" w:line="276" w:lineRule="auto"/>
              <w:rPr>
                <w:sz w:val="16"/>
                <w:szCs w:val="16"/>
              </w:rPr>
            </w:pPr>
            <w:r w:rsidRPr="003325C9">
              <w:rPr>
                <w:sz w:val="16"/>
                <w:szCs w:val="16"/>
              </w:rPr>
              <w:t xml:space="preserve">- bezpośrednio poprzez </w:t>
            </w:r>
            <w:proofErr w:type="spellStart"/>
            <w:r w:rsidRPr="003325C9">
              <w:rPr>
                <w:sz w:val="16"/>
                <w:szCs w:val="16"/>
              </w:rPr>
              <w:t>bezgwintowy</w:t>
            </w:r>
            <w:proofErr w:type="spellEnd"/>
            <w:r w:rsidRPr="003325C9">
              <w:rPr>
                <w:sz w:val="16"/>
                <w:szCs w:val="16"/>
              </w:rPr>
              <w:t xml:space="preserve"> interfejs umieszczony w szczycie rękojeści </w:t>
            </w:r>
            <w:proofErr w:type="spellStart"/>
            <w:r w:rsidRPr="003325C9">
              <w:rPr>
                <w:sz w:val="16"/>
                <w:szCs w:val="16"/>
              </w:rPr>
              <w:t>wideolaryngoskopu</w:t>
            </w:r>
            <w:proofErr w:type="spellEnd"/>
            <w:r w:rsidRPr="003325C9">
              <w:rPr>
                <w:sz w:val="16"/>
                <w:szCs w:val="16"/>
              </w:rPr>
              <w:t xml:space="preserve"> oraz</w:t>
            </w:r>
          </w:p>
          <w:p w:rsidR="00A27CA7" w:rsidRPr="003325C9" w:rsidRDefault="003325C9" w:rsidP="00A27C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25C9">
              <w:rPr>
                <w:sz w:val="16"/>
                <w:szCs w:val="16"/>
              </w:rPr>
              <w:t xml:space="preserve">- poprzez odłączany opcjonalny przewód   umożliwiający zdalne trzymanie monitora w przypadku intubacji pacjentów </w:t>
            </w:r>
            <w:proofErr w:type="spellStart"/>
            <w:r w:rsidRPr="003325C9">
              <w:rPr>
                <w:sz w:val="16"/>
                <w:szCs w:val="16"/>
              </w:rPr>
              <w:t>bariatrycznych</w:t>
            </w:r>
            <w:proofErr w:type="spellEnd"/>
            <w:r w:rsidRPr="003325C9">
              <w:rPr>
                <w:sz w:val="16"/>
                <w:szCs w:val="16"/>
              </w:rPr>
              <w:t xml:space="preserve">. Możliwość </w:t>
            </w:r>
            <w:proofErr w:type="spellStart"/>
            <w:r w:rsidRPr="003325C9">
              <w:rPr>
                <w:sz w:val="16"/>
                <w:szCs w:val="16"/>
              </w:rPr>
              <w:t>reprocessingu</w:t>
            </w:r>
            <w:proofErr w:type="spellEnd"/>
            <w:r w:rsidRPr="003325C9">
              <w:rPr>
                <w:sz w:val="16"/>
                <w:szCs w:val="16"/>
              </w:rPr>
              <w:t xml:space="preserve"> </w:t>
            </w:r>
            <w:proofErr w:type="spellStart"/>
            <w:r w:rsidRPr="003325C9">
              <w:rPr>
                <w:sz w:val="16"/>
                <w:szCs w:val="16"/>
              </w:rPr>
              <w:t>wideolaryngoskopu</w:t>
            </w:r>
            <w:proofErr w:type="spellEnd"/>
            <w:r w:rsidRPr="003325C9">
              <w:rPr>
                <w:sz w:val="16"/>
                <w:szCs w:val="16"/>
              </w:rPr>
              <w:t xml:space="preserve"> metodą manualną oraz maszynową (pełne zanurzenie w roztworze, klasa ochrony IPX8) oraz STERRAD</w:t>
            </w:r>
          </w:p>
          <w:p w:rsidR="00A27CA7" w:rsidRPr="00F95A35" w:rsidRDefault="00A27CA7" w:rsidP="00A27CA7">
            <w:pPr>
              <w:rPr>
                <w:sz w:val="18"/>
                <w:szCs w:val="18"/>
              </w:rPr>
            </w:pPr>
            <w:r w:rsidRPr="003325C9">
              <w:rPr>
                <w:rFonts w:ascii="Calibri" w:hAnsi="Calibri"/>
                <w:color w:val="000000"/>
                <w:sz w:val="16"/>
                <w:szCs w:val="16"/>
              </w:rPr>
              <w:t>- instrukcja obsługi w jeż. Polskim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A2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 w:rsidR="00F95A35">
              <w:rPr>
                <w:sz w:val="18"/>
                <w:szCs w:val="18"/>
              </w:rPr>
              <w:t>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DC52A1" w:rsidTr="001C2F1B"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Razem; </w:t>
            </w:r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04" w:type="dxa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</w:tbl>
    <w:p w:rsidR="001C2F1B" w:rsidRDefault="001C2F1B">
      <w:pPr>
        <w:rPr>
          <w:sz w:val="18"/>
          <w:szCs w:val="18"/>
        </w:rPr>
      </w:pPr>
    </w:p>
    <w:p w:rsidR="005E42B0" w:rsidRDefault="005E42B0">
      <w:pPr>
        <w:rPr>
          <w:sz w:val="18"/>
          <w:szCs w:val="18"/>
        </w:rPr>
      </w:pPr>
      <w:r>
        <w:rPr>
          <w:sz w:val="18"/>
          <w:szCs w:val="18"/>
        </w:rPr>
        <w:t>Wartość ogółem brutto dostawy wynosi; …………………………. Zł. słownie ………………………………………………………………………………………………….</w:t>
      </w:r>
    </w:p>
    <w:p w:rsidR="005E42B0" w:rsidRDefault="005E42B0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</w:t>
      </w:r>
      <w:r w:rsidR="00F67FCB">
        <w:rPr>
          <w:sz w:val="18"/>
          <w:szCs w:val="18"/>
        </w:rPr>
        <w:t>zapoznaliśmy się z treścią Zaproszenia i Projektu umowy, nie wnosimy żadnych zastrzeżeń oraz uzyskaliśmy niezbędne informacje do złożenia oferty.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Oświadczamy, że uważamy się za związanych ofertą przez okres 30 dni.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Oświadczamy, że załączone do Zaproszenia Istotne postanowienia warunków umowy zostały przez nas zaakceptowane bez zastrzeżeń i zobowiązujemy się w przypadku wyboru naszej oferty do zawarcia umowy w miejscu i terminie wyznaczonym przez Zamawiającego.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w/w zaoferowany przedmiot </w:t>
      </w:r>
      <w:r w:rsidR="004C4D87">
        <w:rPr>
          <w:sz w:val="18"/>
          <w:szCs w:val="18"/>
        </w:rPr>
        <w:t>zam</w:t>
      </w:r>
      <w:r w:rsidR="00E9546D">
        <w:rPr>
          <w:sz w:val="18"/>
          <w:szCs w:val="18"/>
        </w:rPr>
        <w:t>ówienia jest kompletny, fabrycznie nowy i będzie gotowy do użytkowania bez żadnych dodatkowych zakupów i inwestycji.</w:t>
      </w:r>
    </w:p>
    <w:p w:rsidR="004C4D87" w:rsidRPr="004C4D87" w:rsidRDefault="004C4D87" w:rsidP="004C4D8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 w:rsidRPr="004C4D87">
        <w:rPr>
          <w:rFonts w:ascii="Calibri" w:hAnsi="Calibri"/>
          <w:color w:val="000000"/>
          <w:sz w:val="18"/>
          <w:szCs w:val="18"/>
        </w:rPr>
        <w:t xml:space="preserve">Do Oferty należy załączyć (pod rygorem odrzucenia oferty); do każdego z urządzeń wymagających przeglądów podać rodzaje przeglądów i ich częstotliwość i kolejność oraz dołączyć listę kontrolną czynności wykonania w czasie poszczególnych przeglądów.  </w:t>
      </w:r>
      <w:r w:rsidR="00F2066E">
        <w:rPr>
          <w:rFonts w:ascii="Calibri" w:hAnsi="Calibri"/>
          <w:color w:val="000000"/>
          <w:sz w:val="18"/>
          <w:szCs w:val="18"/>
        </w:rPr>
        <w:t>(Lista przeglądów).</w:t>
      </w:r>
      <w:bookmarkStart w:id="0" w:name="_GoBack"/>
      <w:bookmarkEnd w:id="0"/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  <w:r w:rsidRPr="004C4D87">
        <w:rPr>
          <w:b/>
          <w:sz w:val="18"/>
          <w:szCs w:val="18"/>
        </w:rPr>
        <w:t>DANE DOTYCZĄCE WYKONAWCY;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Nazwa ………………………………………………………….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Siedziba/adres 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Adres poczty elektronicznej …………………………………………………………….</w:t>
      </w:r>
      <w:r w:rsidRPr="004C4D8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strona internetowa 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/faksu……………………………………………………………….Numer Regon………………………………………………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Numer NIP …………………………………………………………….. Numer KRS/COIDG…………………………………………………………………………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Osoba/osoby do kontaktów z Zamawiającym odpowiedzialne za wykonanie zobowiązań umowy……………………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/fax ……………………..</w:t>
      </w: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Pieczęć i podpis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(upoważnionego przedstawiciela Wykonawcy)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Pr="004C4D87" w:rsidRDefault="004C4D87" w:rsidP="004C4D87">
      <w:pPr>
        <w:rPr>
          <w:b/>
          <w:sz w:val="18"/>
          <w:szCs w:val="18"/>
        </w:rPr>
      </w:pPr>
    </w:p>
    <w:sectPr w:rsidR="004C4D87" w:rsidRPr="004C4D87" w:rsidSect="001C2F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B1D"/>
    <w:multiLevelType w:val="hybridMultilevel"/>
    <w:tmpl w:val="CC6A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10080"/>
    <w:rsid w:val="001C2F1B"/>
    <w:rsid w:val="00224A46"/>
    <w:rsid w:val="00284142"/>
    <w:rsid w:val="003325C9"/>
    <w:rsid w:val="004C4D87"/>
    <w:rsid w:val="005E42B0"/>
    <w:rsid w:val="00A05612"/>
    <w:rsid w:val="00A27CA7"/>
    <w:rsid w:val="00B64FDE"/>
    <w:rsid w:val="00CF1EB8"/>
    <w:rsid w:val="00DC52A1"/>
    <w:rsid w:val="00E9546D"/>
    <w:rsid w:val="00F2066E"/>
    <w:rsid w:val="00F60518"/>
    <w:rsid w:val="00F67CBF"/>
    <w:rsid w:val="00F67FCB"/>
    <w:rsid w:val="00F95A35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7</cp:revision>
  <cp:lastPrinted>2017-08-01T09:08:00Z</cp:lastPrinted>
  <dcterms:created xsi:type="dcterms:W3CDTF">2017-08-01T08:02:00Z</dcterms:created>
  <dcterms:modified xsi:type="dcterms:W3CDTF">2017-08-01T09:08:00Z</dcterms:modified>
</cp:coreProperties>
</file>